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出现“这道题咋做的”。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A/国道编号：“A国道编号很棒”。</w:t>
        <w:br/>
        <w:t>（3）YES-&gt; 给予夸奖鼓励：“非常好啊”、“很棒”。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A/国道编号：“A国道编号很棒”。</w:t>
        <w:br/>
        <w:t>（3）YES-&gt; 给予夸奖鼓励：“非常好啊”、“很棒”。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出现“选a或选a”：“选A”。</w:t>
        <w:br/>
        <w:t>（2）YES-&gt; 出现“国道编号或我倒编号或我的编号”：“国道编号”。</w:t>
        <w:br/>
        <w:t>（3）YES-&gt; 出现“非常棒或很棒或非常好或漂亮或答对了”：“非常好啊”、“很棒”。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出现“国”。</w:t>
        <w:br/>
        <w:t>（3）YES-&gt; 出现“G”。</w:t>
        <w:br/>
        <w:t>（4）YES-&gt;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