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提醒学生前面的方法已经讲完。</w:t>
        <w:br/>
        <w:t>（2）YES-&gt; 把题目放入上考场场景。</w:t>
        <w:br/>
        <w:t>（3）YES-&gt; 强调能不能做对看学生自己。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抓住学员备考时死记硬背2000多道题的痛点。</w:t>
        <w:br/>
        <w:t>（2）YES-&gt; 明确告诉学生不用死记硬背。</w:t>
        <w:br/>
        <w:t>（3）YES-&gt; 突出方法技巧的高效价值。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出现“不用”。</w:t>
        <w:br/>
        <w:t>（5）YES-&gt; 出现“做题方法和技巧”。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在突出技巧价值后，下达关注指令。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再次强调本节课不是让学生死记硬背，而是教做题方法和技巧。</w:t>
        <w:br/>
        <w:t>（2）YES-&gt; 强化关注价值和课程定位。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出现“二二选乡咋拼”。</w:t>
        <w:br/>
        <w:t>（2）YES-&gt; 出现“我一下就想到乡了”。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出现“小耳朵说选D，琪琪说选D”。</w:t>
        <w:br/>
        <w:t>（2）YES-&gt;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